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F3" w:rsidRDefault="00EA73F3" w:rsidP="00EA73F3">
      <w:pPr>
        <w:jc w:val="center"/>
        <w:rPr>
          <w:rFonts w:ascii="Times New Roman" w:hAnsi="Times New Roman" w:cs="Times New Roman"/>
          <w:b/>
          <w:sz w:val="28"/>
          <w:szCs w:val="28"/>
        </w:rPr>
      </w:pPr>
    </w:p>
    <w:p w:rsidR="00EA73F3" w:rsidRDefault="00EA73F3" w:rsidP="00EA73F3">
      <w:pPr>
        <w:jc w:val="center"/>
        <w:rPr>
          <w:rFonts w:ascii="Times New Roman" w:hAnsi="Times New Roman" w:cs="Times New Roman"/>
          <w:sz w:val="24"/>
          <w:szCs w:val="24"/>
        </w:rPr>
      </w:pPr>
      <w:r w:rsidRPr="00EA73F3">
        <w:rPr>
          <w:rFonts w:ascii="Times New Roman" w:hAnsi="Times New Roman" w:cs="Times New Roman"/>
          <w:b/>
          <w:sz w:val="28"/>
          <w:szCs w:val="28"/>
        </w:rPr>
        <w:t>Vnútorný predpis o evidovaní, odpisovaní a účtovaní majetku</w:t>
      </w:r>
      <w:r>
        <w:rPr>
          <w:rFonts w:ascii="Times New Roman" w:hAnsi="Times New Roman" w:cs="Times New Roman"/>
          <w:b/>
          <w:sz w:val="28"/>
          <w:szCs w:val="28"/>
        </w:rPr>
        <w:t xml:space="preserve"> č.</w:t>
      </w:r>
      <w:r w:rsidR="00200948">
        <w:rPr>
          <w:rFonts w:ascii="Times New Roman" w:hAnsi="Times New Roman" w:cs="Times New Roman"/>
          <w:b/>
          <w:sz w:val="28"/>
          <w:szCs w:val="28"/>
        </w:rPr>
        <w:t xml:space="preserve"> 2/2015 </w:t>
      </w:r>
      <w:r>
        <w:rPr>
          <w:rFonts w:ascii="Times New Roman" w:hAnsi="Times New Roman" w:cs="Times New Roman"/>
          <w:b/>
          <w:sz w:val="28"/>
          <w:szCs w:val="28"/>
        </w:rPr>
        <w:t xml:space="preserve">  </w:t>
      </w:r>
      <w:r w:rsidRPr="00EA73F3">
        <w:rPr>
          <w:rFonts w:ascii="Times New Roman" w:hAnsi="Times New Roman" w:cs="Times New Roman"/>
          <w:sz w:val="24"/>
          <w:szCs w:val="24"/>
        </w:rPr>
        <w:t xml:space="preserve"> </w:t>
      </w:r>
    </w:p>
    <w:p w:rsidR="00EA73F3" w:rsidRDefault="00EA73F3" w:rsidP="00EA73F3">
      <w:pPr>
        <w:jc w:val="center"/>
        <w:rPr>
          <w:rFonts w:ascii="Times New Roman" w:hAnsi="Times New Roman" w:cs="Times New Roman"/>
          <w:sz w:val="24"/>
          <w:szCs w:val="24"/>
        </w:rPr>
      </w:pPr>
    </w:p>
    <w:p w:rsidR="00EA73F3" w:rsidRDefault="00EA73F3" w:rsidP="00EA73F3">
      <w:pPr>
        <w:rPr>
          <w:rFonts w:ascii="Times New Roman" w:hAnsi="Times New Roman" w:cs="Times New Roman"/>
          <w:sz w:val="24"/>
          <w:szCs w:val="24"/>
        </w:rPr>
      </w:pPr>
      <w:r w:rsidRPr="00EA73F3">
        <w:rPr>
          <w:rFonts w:ascii="Times New Roman" w:hAnsi="Times New Roman" w:cs="Times New Roman"/>
          <w:b/>
          <w:sz w:val="24"/>
          <w:szCs w:val="24"/>
        </w:rPr>
        <w:t>Názov a sídlo organizácie</w:t>
      </w:r>
      <w:r>
        <w:rPr>
          <w:rFonts w:ascii="Times New Roman" w:hAnsi="Times New Roman" w:cs="Times New Roman"/>
          <w:sz w:val="24"/>
          <w:szCs w:val="24"/>
        </w:rPr>
        <w:t>:</w:t>
      </w:r>
      <w:r w:rsidRPr="00EA73F3">
        <w:rPr>
          <w:rFonts w:ascii="Times New Roman" w:hAnsi="Times New Roman" w:cs="Times New Roman"/>
          <w:sz w:val="24"/>
          <w:szCs w:val="24"/>
        </w:rPr>
        <w:t xml:space="preserve"> OBEC</w:t>
      </w:r>
      <w:r>
        <w:rPr>
          <w:rFonts w:ascii="Times New Roman" w:hAnsi="Times New Roman" w:cs="Times New Roman"/>
          <w:sz w:val="24"/>
          <w:szCs w:val="24"/>
        </w:rPr>
        <w:t xml:space="preserve"> Gruzovce, Obecný úrad Gruzovce č.1</w:t>
      </w:r>
    </w:p>
    <w:p w:rsidR="00A62B4D" w:rsidRDefault="00EA73F3" w:rsidP="00EA73F3">
      <w:pPr>
        <w:rPr>
          <w:rFonts w:ascii="Times New Roman" w:hAnsi="Times New Roman" w:cs="Times New Roman"/>
          <w:b/>
          <w:sz w:val="24"/>
          <w:szCs w:val="24"/>
        </w:rPr>
      </w:pPr>
      <w:r w:rsidRPr="00EA73F3">
        <w:rPr>
          <w:rFonts w:ascii="Times New Roman" w:hAnsi="Times New Roman" w:cs="Times New Roman"/>
          <w:b/>
          <w:sz w:val="24"/>
          <w:szCs w:val="24"/>
        </w:rPr>
        <w:t>Poradové číslo vnútorného predpisu</w:t>
      </w:r>
      <w:r w:rsidR="00A62B4D">
        <w:rPr>
          <w:rFonts w:ascii="Times New Roman" w:hAnsi="Times New Roman" w:cs="Times New Roman"/>
          <w:b/>
          <w:sz w:val="24"/>
          <w:szCs w:val="24"/>
        </w:rPr>
        <w:t xml:space="preserve">: </w:t>
      </w:r>
      <w:r w:rsidR="00200948">
        <w:rPr>
          <w:rFonts w:ascii="Times New Roman" w:hAnsi="Times New Roman" w:cs="Times New Roman"/>
          <w:b/>
          <w:sz w:val="24"/>
          <w:szCs w:val="24"/>
        </w:rPr>
        <w:t>2</w:t>
      </w:r>
    </w:p>
    <w:p w:rsidR="00EA73F3" w:rsidRDefault="00EA73F3" w:rsidP="00EA73F3">
      <w:pPr>
        <w:rPr>
          <w:rFonts w:ascii="Times New Roman" w:hAnsi="Times New Roman" w:cs="Times New Roman"/>
          <w:sz w:val="24"/>
          <w:szCs w:val="24"/>
        </w:rPr>
      </w:pPr>
      <w:r w:rsidRPr="00EA73F3">
        <w:rPr>
          <w:rFonts w:ascii="Times New Roman" w:hAnsi="Times New Roman" w:cs="Times New Roman"/>
          <w:b/>
          <w:sz w:val="24"/>
          <w:szCs w:val="24"/>
        </w:rPr>
        <w:t>Vypracoval</w:t>
      </w:r>
      <w:r w:rsidRPr="00EA73F3">
        <w:rPr>
          <w:rFonts w:ascii="Times New Roman" w:hAnsi="Times New Roman" w:cs="Times New Roman"/>
          <w:sz w:val="24"/>
          <w:szCs w:val="24"/>
        </w:rPr>
        <w:t xml:space="preserve"> : </w:t>
      </w:r>
      <w:r>
        <w:rPr>
          <w:rFonts w:ascii="Times New Roman" w:hAnsi="Times New Roman" w:cs="Times New Roman"/>
          <w:sz w:val="24"/>
          <w:szCs w:val="24"/>
        </w:rPr>
        <w:t>Martin Petík, BBA.</w:t>
      </w:r>
    </w:p>
    <w:p w:rsidR="00EA73F3" w:rsidRDefault="00EA73F3" w:rsidP="00EA73F3">
      <w:pPr>
        <w:rPr>
          <w:rFonts w:ascii="Times New Roman" w:hAnsi="Times New Roman" w:cs="Times New Roman"/>
          <w:sz w:val="24"/>
          <w:szCs w:val="24"/>
        </w:rPr>
      </w:pPr>
      <w:r w:rsidRPr="00EA73F3">
        <w:rPr>
          <w:rFonts w:ascii="Times New Roman" w:hAnsi="Times New Roman" w:cs="Times New Roman"/>
          <w:b/>
          <w:sz w:val="24"/>
          <w:szCs w:val="24"/>
        </w:rPr>
        <w:t>Schválil</w:t>
      </w:r>
      <w:r w:rsidRPr="00EA73F3">
        <w:rPr>
          <w:rFonts w:ascii="Times New Roman" w:hAnsi="Times New Roman" w:cs="Times New Roman"/>
          <w:sz w:val="24"/>
          <w:szCs w:val="24"/>
        </w:rPr>
        <w:t xml:space="preserve"> : </w:t>
      </w:r>
      <w:r>
        <w:rPr>
          <w:rFonts w:ascii="Times New Roman" w:hAnsi="Times New Roman" w:cs="Times New Roman"/>
          <w:sz w:val="24"/>
          <w:szCs w:val="24"/>
        </w:rPr>
        <w:t>Martin Petík, BBA.</w:t>
      </w:r>
      <w:r w:rsidRPr="00EA73F3">
        <w:rPr>
          <w:rFonts w:ascii="Times New Roman" w:hAnsi="Times New Roman" w:cs="Times New Roman"/>
          <w:sz w:val="24"/>
          <w:szCs w:val="24"/>
        </w:rPr>
        <w:t xml:space="preserve">, starosta obce </w:t>
      </w:r>
    </w:p>
    <w:p w:rsidR="00A62B4D" w:rsidRDefault="00EA73F3" w:rsidP="00EA73F3">
      <w:pPr>
        <w:rPr>
          <w:rFonts w:ascii="Times New Roman" w:hAnsi="Times New Roman" w:cs="Times New Roman"/>
          <w:b/>
          <w:sz w:val="24"/>
          <w:szCs w:val="24"/>
        </w:rPr>
      </w:pPr>
      <w:r w:rsidRPr="00EA73F3">
        <w:rPr>
          <w:rFonts w:ascii="Times New Roman" w:hAnsi="Times New Roman" w:cs="Times New Roman"/>
          <w:b/>
          <w:sz w:val="24"/>
          <w:szCs w:val="24"/>
        </w:rPr>
        <w:t>Dátum vyhotovenia vnútorného predpisu</w:t>
      </w:r>
      <w:r>
        <w:rPr>
          <w:rFonts w:ascii="Times New Roman" w:hAnsi="Times New Roman" w:cs="Times New Roman"/>
          <w:b/>
          <w:sz w:val="24"/>
          <w:szCs w:val="24"/>
        </w:rPr>
        <w:t>:</w:t>
      </w:r>
      <w:r w:rsidR="00200948">
        <w:rPr>
          <w:rFonts w:ascii="Times New Roman" w:hAnsi="Times New Roman" w:cs="Times New Roman"/>
          <w:b/>
          <w:sz w:val="24"/>
          <w:szCs w:val="24"/>
        </w:rPr>
        <w:t xml:space="preserve"> 07.12.2015</w:t>
      </w:r>
    </w:p>
    <w:p w:rsidR="00A62B4D" w:rsidRDefault="00EA73F3" w:rsidP="00EA73F3">
      <w:pPr>
        <w:rPr>
          <w:rFonts w:ascii="Times New Roman" w:hAnsi="Times New Roman" w:cs="Times New Roman"/>
          <w:sz w:val="24"/>
          <w:szCs w:val="24"/>
        </w:rPr>
      </w:pPr>
      <w:r w:rsidRPr="00A62B4D">
        <w:rPr>
          <w:rFonts w:ascii="Times New Roman" w:hAnsi="Times New Roman" w:cs="Times New Roman"/>
          <w:b/>
          <w:sz w:val="24"/>
          <w:szCs w:val="24"/>
        </w:rPr>
        <w:t>Účinnosť vnútorného predpisu</w:t>
      </w:r>
      <w:r w:rsidR="00A62B4D">
        <w:rPr>
          <w:rFonts w:ascii="Times New Roman" w:hAnsi="Times New Roman" w:cs="Times New Roman"/>
          <w:sz w:val="24"/>
          <w:szCs w:val="24"/>
        </w:rPr>
        <w:t>:</w:t>
      </w:r>
      <w:r w:rsidRPr="00EA73F3">
        <w:rPr>
          <w:rFonts w:ascii="Times New Roman" w:hAnsi="Times New Roman" w:cs="Times New Roman"/>
          <w:sz w:val="24"/>
          <w:szCs w:val="24"/>
        </w:rPr>
        <w:t xml:space="preserve"> od 01.01.201</w:t>
      </w:r>
      <w:r w:rsidR="009359B2">
        <w:rPr>
          <w:rFonts w:ascii="Times New Roman" w:hAnsi="Times New Roman" w:cs="Times New Roman"/>
          <w:sz w:val="24"/>
          <w:szCs w:val="24"/>
        </w:rPr>
        <w:t>6</w:t>
      </w:r>
      <w:bookmarkStart w:id="0" w:name="_GoBack"/>
      <w:bookmarkEnd w:id="0"/>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Ruší sa vnútorný</w:t>
      </w:r>
      <w:r w:rsidR="00A62B4D">
        <w:rPr>
          <w:rFonts w:ascii="Times New Roman" w:hAnsi="Times New Roman" w:cs="Times New Roman"/>
          <w:sz w:val="24"/>
          <w:szCs w:val="24"/>
        </w:rPr>
        <w:t xml:space="preserve"> sa posledný vnútorný predpis</w:t>
      </w:r>
      <w:r w:rsidRPr="00EA73F3">
        <w:rPr>
          <w:rFonts w:ascii="Times New Roman" w:hAnsi="Times New Roman" w:cs="Times New Roman"/>
          <w:sz w:val="24"/>
          <w:szCs w:val="24"/>
        </w:rPr>
        <w:t xml:space="preserve">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Vnútorný predpis je vypracovaný v zmysle zákona č.431/2002 Z.z. o účtovníctve v znení neskorších predpisov a v zmysle Opatrenia MF SR z 8. augusta 2007, ktorým sa ustanovujú podrobnosti o postupoch účtovania a rámcovej účtovej osnove pre rozpočtové organizácie, príspevkové organizácie, štátne fondy, obce a vyššie územné celky, uverejneného pod č.MF/16786/2007-31 v z.n.p. (ďalej len Postupy účtovania). </w:t>
      </w:r>
    </w:p>
    <w:p w:rsidR="00A62B4D" w:rsidRPr="00A62B4D" w:rsidRDefault="00EA73F3" w:rsidP="00A62B4D">
      <w:pPr>
        <w:jc w:val="center"/>
        <w:rPr>
          <w:rFonts w:ascii="Times New Roman" w:hAnsi="Times New Roman" w:cs="Times New Roman"/>
          <w:b/>
          <w:sz w:val="24"/>
          <w:szCs w:val="24"/>
        </w:rPr>
      </w:pPr>
      <w:r w:rsidRPr="00A62B4D">
        <w:rPr>
          <w:rFonts w:ascii="Times New Roman" w:hAnsi="Times New Roman" w:cs="Times New Roman"/>
          <w:b/>
          <w:sz w:val="24"/>
          <w:szCs w:val="24"/>
        </w:rPr>
        <w:t>Článok 1</w:t>
      </w:r>
    </w:p>
    <w:p w:rsidR="00A62B4D" w:rsidRPr="00A62B4D" w:rsidRDefault="00EA73F3" w:rsidP="00A62B4D">
      <w:pPr>
        <w:jc w:val="center"/>
        <w:rPr>
          <w:rFonts w:ascii="Times New Roman" w:hAnsi="Times New Roman" w:cs="Times New Roman"/>
          <w:b/>
          <w:sz w:val="24"/>
          <w:szCs w:val="24"/>
        </w:rPr>
      </w:pPr>
      <w:r w:rsidRPr="00A62B4D">
        <w:rPr>
          <w:rFonts w:ascii="Times New Roman" w:hAnsi="Times New Roman" w:cs="Times New Roman"/>
          <w:b/>
          <w:sz w:val="24"/>
          <w:szCs w:val="24"/>
        </w:rPr>
        <w:t>Vymedzenie základných pojmov</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1. Z časového hľadiska sa majetok člení na:</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a) dlhodobý majetok je majetok, ktorého doba použiteľnosti, dohodnutá doba splatnosti alebo vyrovnania iným spôsobom pri vzniku účtovného prípadu je dlhšia ako jeden rok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krátkodobý majetok je majetok, ktorého doba použiteľnosti, dohodnutá doba splatnosti alebo vyrovnania iným spôsobom pri vzniku účtovného prípadu je najviac jeden rok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2. Dlhodobý majetok sa člení na:</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a) dlhodobý nehmotný majetok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dlhodobý hmotný majetok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c) dlhodobý finančný majetok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d) dlhodobé pohľadávky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3. Ako dlhodobý nehmotný majetok sa účtujú v účtovej triede 0 - Dlhodobý majetok: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a) aktivované náklady na vývoj, softvér, oceniteľné autorské práva, technické zhodnotenie, ak nie je súčasťou ocenenia dlhodobého nehmotného majetku, ktorých ocenenie je vyššie ako 2 400 € (suma ustanovená osobitným predpisom pre nehmotný majetok - zákon o dani z príjmov) a doba použiteľnosti je dlhšia ako jeden rok, b) drobný dlhodobý nehmotný majetok, ktorého obstarávacia cena je od: </w:t>
      </w:r>
      <w:r w:rsidR="00A62B4D">
        <w:rPr>
          <w:rFonts w:ascii="Times New Roman" w:hAnsi="Times New Roman" w:cs="Times New Roman"/>
          <w:sz w:val="24"/>
          <w:szCs w:val="24"/>
        </w:rPr>
        <w:t>500</w:t>
      </w:r>
      <w:r w:rsidRPr="00EA73F3">
        <w:rPr>
          <w:rFonts w:ascii="Times New Roman" w:hAnsi="Times New Roman" w:cs="Times New Roman"/>
          <w:sz w:val="24"/>
          <w:szCs w:val="24"/>
        </w:rPr>
        <w:t xml:space="preserve"> € do 2 400 € a doba použiteľnosti je dlhšia ako jeden </w:t>
      </w:r>
      <w:r w:rsidRPr="00EA73F3">
        <w:rPr>
          <w:rFonts w:ascii="Times New Roman" w:hAnsi="Times New Roman" w:cs="Times New Roman"/>
          <w:sz w:val="24"/>
          <w:szCs w:val="24"/>
        </w:rPr>
        <w:lastRenderedPageBreak/>
        <w:t xml:space="preserve">rok. Uvedený drobný dlhodobý nehmotný majetok sa bude financovať z kapitálových výdavkov.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4. Ako dlhodobý hmotný majetok ( účt.tr.021-023, 031) sa účtujú a) pozemky, stavby, byty a nebytové priestory, umelecké diela, zbierky, predmety z drahých kovov,</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b) samostatné hnuteľné veci s výnimkou hnuteľných vecí uvedených v písmene a) a súbory hnuteľných vecí, ktoré majú samostatné technicko-ekonomické určenie s dobou použiteľnosti dlhšou ako jeden rok, ktorých ocenenie je vyššie ako 1 700 €, (suma ustanovená osobitným predpisom pre hmotný majetok - zákon o dani z príjmov)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c) pestovateľské celky trvalých porastov s dobou plodnosti dlhšou ako tri roky,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d) základné stádo a ťažné zvieratá, bez ohľadu na ich obstarávaciu cenu,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e) otvárky nových lomov, pieskovní a hlinísk, technická rekultivácia a technické zhodnotenie, ak nie sú súčasťou obstarávacej ceny dlhodobého hmotného majetku; súčasťou technickej rekultivácie môžu byť len stavby, napríklad komunikácie, ktoré svojím charakterom, účelom a rozsahom slúžia na vykonanie technickej rekultivácie, pričom technická rekultivácia nie je dlhodobým hmotným majetkom, ak tak ustanovuje osobitný predpis.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f) drobný dlhodobý hmotný majetok,( úč.028) ktorého obstarávacia cena je od 500 € do 1700 € a prevádzkovo-technické funkcie sú dlhšie ako jeden rok. Uvedený drobný dlhodobý hmotný majetok sa bude financovať z kapitálových výdavkov.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g) Ako príslušenstvo dlhodobého hmotného majetku sa účtujú predmety, ktoré tvoria s hlavnou vecou jeden celok a sú súčasťou jeho ocenenia a evidencie. Príslušenstvo je súčasťou dodávky hlavnej veci alebo ho možno k hlavnej veci priradiť dodatočne.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5. Ako dlhodobý finančný majetok ( tr.06) sa účtujú najmä</w:t>
      </w:r>
      <w:r w:rsidR="004E7AAB">
        <w:rPr>
          <w:rFonts w:ascii="Times New Roman" w:hAnsi="Times New Roman" w:cs="Times New Roman"/>
          <w:sz w:val="24"/>
          <w:szCs w:val="24"/>
        </w:rPr>
        <w:t>:</w:t>
      </w:r>
      <w:r w:rsidRPr="00EA73F3">
        <w:rPr>
          <w:rFonts w:ascii="Times New Roman" w:hAnsi="Times New Roman" w:cs="Times New Roman"/>
          <w:sz w:val="24"/>
          <w:szCs w:val="24"/>
        </w:rPr>
        <w:t xml:space="preserve">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a) cenné papiere a podiely v dcérskej účtovnej jednotke, cenné papiere a podiely spoločnosti s podstatným vplyvom a ostatné podielové cenné papiere a podiely,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pôžičky poskytnuté účtovnou jednotkou s dobou splatnosti alebo zostatkovou dobou splatnosti dlhšou ako jeden rok,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c) cenné papiere s pevným výnosom (ďalej len „dlhové cenné papiere“) napríklad obligácie, dlhopisy, vkladové listy, d) umelecké diela, zbierky, predmety z drahých kovov, pozemky, ktoré sú obstarané za účelom dlhodobého uloženia voľných peňažných prostriedkov.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6. Dlhodobé pohľadávky sú pohľadávky s dohodnutou dobou splatnosti alebo zostatkovou dobou splatnosti dlhšou ako jeden rok.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7. Ako dlhodobý majetok sa neúčtujú: a) drobný nehmotný majetok od </w:t>
      </w:r>
      <w:r w:rsidR="00A62B4D">
        <w:rPr>
          <w:rFonts w:ascii="Times New Roman" w:hAnsi="Times New Roman" w:cs="Times New Roman"/>
          <w:sz w:val="24"/>
          <w:szCs w:val="24"/>
        </w:rPr>
        <w:t>0</w:t>
      </w:r>
      <w:r w:rsidRPr="00EA73F3">
        <w:rPr>
          <w:rFonts w:ascii="Times New Roman" w:hAnsi="Times New Roman" w:cs="Times New Roman"/>
          <w:sz w:val="24"/>
          <w:szCs w:val="24"/>
        </w:rPr>
        <w:t xml:space="preserve"> € do </w:t>
      </w:r>
      <w:r w:rsidR="00A62B4D">
        <w:rPr>
          <w:rFonts w:ascii="Times New Roman" w:hAnsi="Times New Roman" w:cs="Times New Roman"/>
          <w:sz w:val="24"/>
          <w:szCs w:val="24"/>
        </w:rPr>
        <w:t>50</w:t>
      </w:r>
      <w:r w:rsidRPr="00EA73F3">
        <w:rPr>
          <w:rFonts w:ascii="Times New Roman" w:hAnsi="Times New Roman" w:cs="Times New Roman"/>
          <w:sz w:val="24"/>
          <w:szCs w:val="24"/>
        </w:rPr>
        <w:t xml:space="preserve">0 €, ktorý podľa rozhodnutia účtovnej jednotky nie je dlhodobým nehmotným majetkom, a ktorý sa účtuje pri obstaraní do nákladov na účet 518 - Ostatné služby. Uvedený drobný nehmotný majetok sa bude financovať z bežných výdavkov.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drobný hmotný majetok od </w:t>
      </w:r>
      <w:r w:rsidR="00A62B4D">
        <w:rPr>
          <w:rFonts w:ascii="Times New Roman" w:hAnsi="Times New Roman" w:cs="Times New Roman"/>
          <w:sz w:val="24"/>
          <w:szCs w:val="24"/>
        </w:rPr>
        <w:t>0</w:t>
      </w:r>
      <w:r w:rsidRPr="00EA73F3">
        <w:rPr>
          <w:rFonts w:ascii="Times New Roman" w:hAnsi="Times New Roman" w:cs="Times New Roman"/>
          <w:sz w:val="24"/>
          <w:szCs w:val="24"/>
        </w:rPr>
        <w:t xml:space="preserve"> € do 500 €, ktorý podľa rozhodnutia účtovnej jednotky nie je dlhodobým hmotným majetkom, a ktorý sa účtuje ako zásoby. Uvedený drobný hmotný majetok sa bude financovať z bežných výdavkov.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8. Ako technické zhodnotenie sa účtuje: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lastRenderedPageBreak/>
        <w:t xml:space="preserve">a) DNM a DHM zvýšený o náklady na dokončené technické zhodnotenie, ak náklady v úhrne za účtovné obdobie sú vyššie ako suma 1 700 € a technické zhodnotenie je v tomto účtovnom období uvedené do užívania. Takéto technické zhodnotenie sa bude financovať z kapitálových výdavkov.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DNM a DHM zvýšený o náklady na dokončené technické zhodnotenie ak náklady v úhrne za účtovné obdobie sú od 500 € do 1 700 € a technické zhodnotenie je v tomto účtovnom období uvedené do užívania. Takéto technické zhodnotenie sa bude financovať z kapitálových výdavkov.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9. Ako technické zhodnotenie sa neúčtuje: a) DNM a DHM zvýšený o náklady, ak náklady v úhrne za účtovné obdobie sú do 500 €. Takéto náklady sa budú financovať z bežných výdavkov. </w:t>
      </w:r>
    </w:p>
    <w:p w:rsidR="00A62B4D" w:rsidRPr="00A62B4D" w:rsidRDefault="00EA73F3" w:rsidP="00A62B4D">
      <w:pPr>
        <w:jc w:val="center"/>
        <w:rPr>
          <w:rFonts w:ascii="Times New Roman" w:hAnsi="Times New Roman" w:cs="Times New Roman"/>
          <w:b/>
          <w:sz w:val="24"/>
          <w:szCs w:val="24"/>
        </w:rPr>
      </w:pPr>
      <w:r w:rsidRPr="00A62B4D">
        <w:rPr>
          <w:rFonts w:ascii="Times New Roman" w:hAnsi="Times New Roman" w:cs="Times New Roman"/>
          <w:b/>
          <w:sz w:val="24"/>
          <w:szCs w:val="24"/>
        </w:rPr>
        <w:t>Článok 2</w:t>
      </w:r>
    </w:p>
    <w:p w:rsidR="00A62B4D" w:rsidRPr="00A62B4D" w:rsidRDefault="00EA73F3" w:rsidP="00A62B4D">
      <w:pPr>
        <w:jc w:val="center"/>
        <w:rPr>
          <w:rFonts w:ascii="Times New Roman" w:hAnsi="Times New Roman" w:cs="Times New Roman"/>
          <w:b/>
          <w:sz w:val="24"/>
          <w:szCs w:val="24"/>
        </w:rPr>
      </w:pPr>
      <w:r w:rsidRPr="00A62B4D">
        <w:rPr>
          <w:rFonts w:ascii="Times New Roman" w:hAnsi="Times New Roman" w:cs="Times New Roman"/>
          <w:b/>
          <w:sz w:val="24"/>
          <w:szCs w:val="24"/>
        </w:rPr>
        <w:t>Oceňovanie majetku</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1. Na účely zákona o účtovníctve (§25) sa rozumie: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a) obstarávacou cenou cena, za ktorú sa majetok obstaral, a náklady súvisiace s jeho obstaraním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reprodukčnou obstarávacou cenou cena, za ktorú by sa majetok obstaral v čase, keď sa o ňom účtuje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c) vlastnými nákladmi - priame náklady vynaložené na výrobu alebo inú činnosť a nepriame náklady, ktoré sa vzťahujú na výrobu alebo inú činnosť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d) menovitou hodnotou cena, ktorá je uvedená na peňažných prostriedkoch a ceninách, alebo suma, na ktorú pohľadávka alebo záväzok znie.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2. Dlhodobý majetok a jeho technické zhodnotenie sa oceňuje podľa § 25 zákona: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a) obstarávacou cenou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reprodukčnou obstarávacou cenou (bezodplatne nadobudnutý a novozistený majetok)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c) vlastnými nákladmi</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3. Ocenenie jednotlivého dlhodobého nehmotného majetku a dlhodobého hmotného majetku sa zvýši o náklady na dokončené technické zhodnotenie, ak náklady v úhrne za účtovné obdobie sú vyššie ako suma uvedená v osobitnom predpise a technické hodnotenie je v tomto účtovnom období uvedené do užívania. Náklady neprevyšujúce uvedenú sumu sa môžu účtovať ako</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a) technické zhodnotenie </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b) služby, ak ide o dlhodobý nehmotný majetok,</w:t>
      </w:r>
    </w:p>
    <w:p w:rsidR="00A62B4D"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c) náklady, ak ide o dlhodobý hmotný majetok.</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4. Ocenenie súboru hnuteľného majetku sa zvyšuje o obstarávaciu cenu vecí dodatočne zaradených do súboru hnuteľného majetku.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lastRenderedPageBreak/>
        <w:t xml:space="preserve">5. Dlhodobý majetok nadobudnutý bezodplatným prevodom pri splynutí, zlúčení, rozdelení alebo pri prevode správy sa oceňuje cenou, v ktorej sa doteraz viedol v účtovníctve. Ak cenu nie je možné zistiť, oceňuje sa reprodukčnou obstarávacou cenou.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6. Pri účtovaní zámeny dlhodobého majetku sa primerane postupuje ako pri účtovaní kúpy a predaja. Rozdiel medzi reálnou hodnotou nadobudnutého dlhodobého majetku a účtovnou hodnotou odovzdávaného majetku sa účtuje podľa charakteru tohto rozdielu na vecne príslušný nákladový účet, na ktorom sa účtuje úbytok majetku alebo na vecne príslušný výnosový účet, na ktorom sa účtuje dosiahnutie výnosu z tohto majetku.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7. Reálnou hodnotou (§ 27 ods.2 zákona) sa rozumie :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a) trhová cena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ocenenie kvalifikovaným odhadom alebo posudkom znalca v prípade, že trhová cena nie je k dispozícii alebo nevyjadruje správne reálnu hodnotu,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c) ocenenie ustanovené podľa osobitného predpisu, ak nie je možné postupovať podľa písmen a) a b),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d) hodnota zhotovovaného diela poskytnutá koncesionárom verejnému obstarávateľovi, za ktorú koncesionár nadobúda nehmotný majetok uvedený v § 25 ods. 1 písm. g).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8. Finančný majetok sa oceňuje podľa § 25 zákona: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a) obstarávacou cenou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b) reprodukčnou obstarávacou cenou, v prípade bezodplatného nadobudnutia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9. Zásoby sa oceňujú podľa § 25 a § 26 zákona: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a) obstarávacou cenou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b) reprodukčnou obstarávacou cenou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c) vlastnými nákladmi</w:t>
      </w:r>
    </w:p>
    <w:p w:rsidR="004E7AAB" w:rsidRPr="004E7AAB" w:rsidRDefault="00EA73F3" w:rsidP="004E7AAB">
      <w:pPr>
        <w:jc w:val="center"/>
        <w:rPr>
          <w:rFonts w:ascii="Times New Roman" w:hAnsi="Times New Roman" w:cs="Times New Roman"/>
          <w:b/>
          <w:sz w:val="24"/>
          <w:szCs w:val="24"/>
        </w:rPr>
      </w:pPr>
      <w:r w:rsidRPr="004E7AAB">
        <w:rPr>
          <w:rFonts w:ascii="Times New Roman" w:hAnsi="Times New Roman" w:cs="Times New Roman"/>
          <w:b/>
          <w:sz w:val="24"/>
          <w:szCs w:val="24"/>
        </w:rPr>
        <w:t>Článok 3</w:t>
      </w:r>
    </w:p>
    <w:p w:rsidR="004E7AAB" w:rsidRPr="004E7AAB" w:rsidRDefault="00EA73F3" w:rsidP="004E7AAB">
      <w:pPr>
        <w:jc w:val="center"/>
        <w:rPr>
          <w:rFonts w:ascii="Times New Roman" w:hAnsi="Times New Roman" w:cs="Times New Roman"/>
          <w:b/>
          <w:sz w:val="24"/>
          <w:szCs w:val="24"/>
        </w:rPr>
      </w:pPr>
      <w:r w:rsidRPr="004E7AAB">
        <w:rPr>
          <w:rFonts w:ascii="Times New Roman" w:hAnsi="Times New Roman" w:cs="Times New Roman"/>
          <w:b/>
          <w:sz w:val="24"/>
          <w:szCs w:val="24"/>
        </w:rPr>
        <w:t>Obstaranie a evidencia majetku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1. Dlhodobým nehmotným majetkom a dlhodobým hmotným majetkom sú na účely účtovania majetok a technické zhodnotenie podľa § 25 ods. 2 písm. c) uvedené do užívania. Uvedením do užívania sa rozumie zabezpečenie všetkých technických funkcií tohto majetku potrebných na jeho užívanie a splnenie povinností podľa osobitných predpisov. Uvedením do užívania sa rozumie aj vydanie povolenia na predčasné užívanie stavby alebo rozhodnutia o dočasnom užívaní stavby na skúšobnú prevádzku.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2. Na účte 041 - Obstaranie dlhodobého nehmotného majetku sa účtuje obstaraný dlhodobý nehmotný majetok do času jeho uvedenia do používania vrátane nákladov súvisiacich s jeho obstaraním. Súčasťou nákladov súvisiacich s obstaraním nie sú úroky a kurzové rozdiely.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3. Na účte 042 - Obstaranie dlhodobého hmotného majetku sa účtuje obstarávaný dlhodobý hmotný majetok a jeho technické zhodnotenie do času jeho uvedenia do používania vrátane nákladov súvisiacich s jeho obstaraním, najmä na</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lastRenderedPageBreak/>
        <w:t xml:space="preserve"> a) prípravu a zabezpečenie obstarania dlhodobého hmotného majetku, napríklad odvody za dočasné odňatie poľnohospodárskej pôdy z poľnohospodárskeho pôdneho fondu, výdavky (náklady) na poskytnutie záruk v súvislosti s obstaraním, a to do času uvedenia dlhodobého majetku do používania,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prieskumné, geologické, geodetické a projektové práce vrátane viacerých navrhovaných riešení, umelecké diela tvoriace súčasť stavebných projektov, náhrady na odstránenie ekonomickej ujmy poľnohospodárskych organizácií, odvody za trvalé odňatie poľnohospodárskej pôdy z poľnohospodárskeho pôdneho fondu, odvody za dočasné odňatie poľnohospodárskej pôdy z poľnohospodárskeho pôdneho fondu pre zriadenie staveniska, otvárky nových lomov, pieskovní a hlinísk, technickú rekultiváciu, technické zhodnotenie, dopravné, montážne práce a clo,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c) zabezpečovacie a konzervačné práce alebo udržiavacie a dekonzervačné práce, ak sa zastavia práce na obstarávaní dlhodobého hmotného majetku,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d) náhrady za nútené obmedzenie užívania nehnuteľností a náhrady majetkovej ujmy poskytované vlastníkovi nehnuteľnosti podľa osobitných predpisov a platby za ekologickú ujmu v súvislosti s výstavbou,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e) úhradu nákladov účelne vynaložených na pripojenie a zabezpečenie požadovaného príkonu alebo požadovanej dodávky plynu, tepla a vody, ako aj úhrada vlastníkovi rozvodného zariadenia za preložku rozvodného zariadenia,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f) skúšky, ktorými zhotoviteľ preukazuje riadne vykonanie diela; ak pri skúškach vzniknú použiteľné výrobky alebo výkony, ktoré podľa zmluvy patria objednávateľovi, znížia sa o výnosy z týchto výrobkov alebo výkonov náklady na obstaranie dlhodobého hmotného majetku,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g) vyvolanú investíciu, ktorou sa rozumie obstaranie majetku alebo služby, ktoré nebude účtovná jednotka používať, ale ktoré jej vznikli podľa osobitného predpisu alebo zo zmluvy v súvislosti s obstaraním dlhodobého majetku.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4. Na účte 042 - Obstaranie dlhodobého hmotného majetku sa neúčtujú náklady, ktoré nie sú súčasťou obstarávacej ceny dlhodobého hmotného majetku, ale sú súčasťou prevádzkových nákladov, a to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a) úroky z úverov a kurzové rozdiely,</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b) penále, pokuty, poplatky, úroky z omeškania alebo iné zmluvné sankcie a peňažné náhrady škôd súvisiace s obstarávaním dlhodobého hmotného majetku,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c) náklady na prípravu zamestnancov pre budované prevádzky a zariadenia,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d) náklady na vybavenie obstarávaného dlhodobého majetku zásobami,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e) náklady na biologickú rekultiváciu,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f) náklady súvisiace s prípravou a zabezpečením výstavby, ktoré vznikli po uvedení obstarávaného hmotného majetku do používania,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g) náklady na opravy a udržiavanie dlhodobého hmotného majetku, pričom opravami sa odstraňuje čiastočné fyzické opotrebovanie alebo poškodenie za účelom uvedenia do </w:t>
      </w:r>
      <w:r w:rsidRPr="00EA73F3">
        <w:rPr>
          <w:rFonts w:ascii="Times New Roman" w:hAnsi="Times New Roman" w:cs="Times New Roman"/>
          <w:sz w:val="24"/>
          <w:szCs w:val="24"/>
        </w:rPr>
        <w:lastRenderedPageBreak/>
        <w:t xml:space="preserve">predchádzajúceho alebo prevádzkyschopného stavu a uvedením do prevádzkyschopného stavu sa rozumie vykonanie opravy aj s použitím iných než pôvodných materiálov, náhradných dielcov, súčastí alebo technológií, ak nedôjde k zmene technických parametrov alebo zvýšeniu výkonností majetku a ani k zmene účelu použitia; udržiavaním sa spomaľuje fyzické opotrebovanie, predchádza jeho následkom a odstraňujú sa drobnejšie závady.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5. Na účte 042 - Obstaranie dlhodobého hmotného majetku sa účtujú aj náklady vynaložené na technické zhodnotenie dlhodobého hmotného majetku, ktorý má účtovná jednotka v nájme alebo bude mať v nájme na základe písomnej zmluvy a toto technické zhodnotenie sa bude odpisovať. V účtovníctve vlastníka prenajatého dlhodobého hmotného majetku sa v takomto prípade neúčtujú náklady na technické zhodnotenie a tieto náklady nezvyšujú obstarávaciu cenu dlhodobého hmotného majetku.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6. Na účte 042 – Obstaranie dlhodobého hmotného majetku sa účtuje aj hnuteľný dlhodobý hmotný majetok obstaraný na účely jeho predaja, na ktorom sa bude vykonávať technické zhodnotenie, a toto technické zhodnotenie.</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7. Analytická evidencia sa vedie podľa jednotlivých položiek majetku v registri dlhodobého majetku. V analytickej evidencii sa dlhodobý majetok sleduje podľa: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a) subjektov, od ktorých bol obstaraný alebo</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b) zdrojov financovania alebo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c) miesta, kde je umiestnený.</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8. Vedením analytickej evidencie je poverený zamestnanec, ktorý zodpovedá za evidenciu a oceňovanie majetku.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9. Majetok v analytickej evidencii je vedený v jednotkách množstva a v peňažných jednotkách.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10. Prvotným dokladom na zaradenie dlhodobého majetku do analytickej evidencie je: a) dokument o obstaraní majetku (kúpna zmluva, darovacia zmluva, delimitačný protokol, protokol o prevode správy, dodávateľská faktúra ...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b) protokol o zaradení dlhodobého majetku do používania</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11. Zamestnanec poverený vedením analytickej evidencie majetku overí vecnú a číselnú správnosť dokumentov podľa odseku 9 písm.a). Po rozhodnutí účtovnej jednotky o zaradení majetku do používania, vystaví poverený zamestnanec ku každému nadobudnutému majetku protokol o zaradení majetku do používania, pridelí mu inventárne číslo a zaeviduje ho v majetkovej evidencii.</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12. Ak sa nehnuteľnosť obstaráva na základe zmluvy a do nadobudnutia vlastníctva povolením vkladu do katastra nehnuteľností nadobúdateľ nehnuteľnosť užíva, dňom uskutočnenia účtovného prípadu je deň prevzatia nehnuteľnosti nadobúdateľom; u prevádzajúceho je dňom uskutočnenia účtovného prípadu deň odovzdania nehnuteľnosti. Ak nebude vklad do katastra nehnuteľností povolený, účtovné zápisy sa zrušia.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13. Analytická evidencia dlhodobého majetku obsahuje: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lastRenderedPageBreak/>
        <w:t xml:space="preserve">a) inventárne karty majetku (obsahujú: názov alebo opis majetku, číselné označenie, dátum jeho obstarania a uvedenia do užívania, dátum zaúčtovania na účtoch účtovej skupiny 01, 02, 03; ocenenie, údaje o zvolenom postupe odpisovania, sadzby odpisov, sumy odpisov za účtovné obdobie, vecné bremeno, záložné právo; transfer, z ktorého bol dlhodobý majetok obstaraný; zostatkovú cenu, dátum a spôsob vyradenia ...)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b) inventárne karty majetku - pri súbore hnuteľných vecí a majetku, ktorého súčasťou je aj príslušenstvo, sa jednotlivé časti súboru a jednotlivé kusy majetku zaznamenávajú v analytickej evidencii vo fyzickom a hodnotovom vyjadrení. Ak sa k súboru hnuteľných vecí priradí ďalšia vec a k majetku sa priradí príslušenstvo alebo naopak vyradí, zaznamenáva sa v analytickej evidencii aj dátum priradenia alebo vyradenia.</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c) protokol o zaradení dlhodobého majetku do používania (obsahuje: názov alebo opis majetku, dátum jeho obstarania a uvedenia do užívania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d) dokumenty o obstaraní majetku (kúpna zmluva, darovacia zmluva, delimitačný protokol, protokol o zverení do správy, dodávateľská faktúra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e) odpisový plán (obsahuje: údaje o zvolenom postupe odpisovania, sadzby odpisov, sumy odpisov za účtovné obdobie ...)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f) ostatné dokumenty (uznesenia zastupiteľstva, listy vlastníctva ...)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g) protokol o vyradení dlhodobého majetku (obsahuje: zostatkovú cenu, dátum a spôsob vyradenia ...) </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14. Operatívna evidencia drobného majetku od </w:t>
      </w:r>
      <w:r w:rsidR="004E7AAB">
        <w:rPr>
          <w:rFonts w:ascii="Times New Roman" w:hAnsi="Times New Roman" w:cs="Times New Roman"/>
          <w:sz w:val="24"/>
          <w:szCs w:val="24"/>
        </w:rPr>
        <w:t>0</w:t>
      </w:r>
      <w:r w:rsidRPr="00EA73F3">
        <w:rPr>
          <w:rFonts w:ascii="Times New Roman" w:hAnsi="Times New Roman" w:cs="Times New Roman"/>
          <w:sz w:val="24"/>
          <w:szCs w:val="24"/>
        </w:rPr>
        <w:t xml:space="preserve"> € do 500 € obsahuje:</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a) protokol o zaradení drobného majetku do používania alebo výdajka zo skladu</w:t>
      </w:r>
    </w:p>
    <w:p w:rsidR="004E7AAB"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b) protokol o vyradení drobného majetku c) evidencia je vedená na obci, v inventárnej knihe, sklad.karte. </w:t>
      </w:r>
    </w:p>
    <w:p w:rsidR="00740539" w:rsidRDefault="004E7AAB" w:rsidP="00EA73F3">
      <w:pPr>
        <w:rPr>
          <w:rFonts w:ascii="Times New Roman" w:hAnsi="Times New Roman" w:cs="Times New Roman"/>
          <w:sz w:val="24"/>
          <w:szCs w:val="24"/>
        </w:rPr>
      </w:pPr>
      <w:r>
        <w:rPr>
          <w:rFonts w:ascii="Times New Roman" w:hAnsi="Times New Roman" w:cs="Times New Roman"/>
          <w:sz w:val="24"/>
          <w:szCs w:val="24"/>
        </w:rPr>
        <w:t>15</w:t>
      </w:r>
      <w:r w:rsidR="00EA73F3" w:rsidRPr="00EA73F3">
        <w:rPr>
          <w:rFonts w:ascii="Times New Roman" w:hAnsi="Times New Roman" w:cs="Times New Roman"/>
          <w:sz w:val="24"/>
          <w:szCs w:val="24"/>
        </w:rPr>
        <w:t xml:space="preserve">. Evidencia dlhodobého majetku je vedená prostriedkami výpočtovej techniky za použitia programu </w:t>
      </w:r>
      <w:r w:rsidR="00740539">
        <w:rPr>
          <w:rFonts w:ascii="Times New Roman" w:hAnsi="Times New Roman" w:cs="Times New Roman"/>
          <w:sz w:val="24"/>
          <w:szCs w:val="24"/>
        </w:rPr>
        <w:t>Ifosoft</w:t>
      </w:r>
      <w:r w:rsidR="00EA73F3" w:rsidRPr="00EA73F3">
        <w:rPr>
          <w:rFonts w:ascii="Times New Roman" w:hAnsi="Times New Roman" w:cs="Times New Roman"/>
          <w:sz w:val="24"/>
          <w:szCs w:val="24"/>
        </w:rPr>
        <w:t xml:space="preserve">. </w:t>
      </w:r>
    </w:p>
    <w:p w:rsidR="00740539" w:rsidRPr="00740539" w:rsidRDefault="00EA73F3" w:rsidP="00740539">
      <w:pPr>
        <w:jc w:val="center"/>
        <w:rPr>
          <w:rFonts w:ascii="Times New Roman" w:hAnsi="Times New Roman" w:cs="Times New Roman"/>
          <w:b/>
          <w:sz w:val="24"/>
          <w:szCs w:val="24"/>
        </w:rPr>
      </w:pPr>
      <w:r w:rsidRPr="00740539">
        <w:rPr>
          <w:rFonts w:ascii="Times New Roman" w:hAnsi="Times New Roman" w:cs="Times New Roman"/>
          <w:b/>
          <w:sz w:val="24"/>
          <w:szCs w:val="24"/>
        </w:rPr>
        <w:t>Článok 4</w:t>
      </w:r>
    </w:p>
    <w:p w:rsidR="00740539" w:rsidRPr="00740539" w:rsidRDefault="00EA73F3" w:rsidP="00740539">
      <w:pPr>
        <w:jc w:val="center"/>
        <w:rPr>
          <w:rFonts w:ascii="Times New Roman" w:hAnsi="Times New Roman" w:cs="Times New Roman"/>
          <w:b/>
          <w:sz w:val="24"/>
          <w:szCs w:val="24"/>
        </w:rPr>
      </w:pPr>
      <w:r w:rsidRPr="00740539">
        <w:rPr>
          <w:rFonts w:ascii="Times New Roman" w:hAnsi="Times New Roman" w:cs="Times New Roman"/>
          <w:b/>
          <w:sz w:val="24"/>
          <w:szCs w:val="24"/>
        </w:rPr>
        <w:t>Odpisovanie majetku</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1. Dlhodobý nehmotný majetok a dlhodobý hmotný majetok sa odpisuje nepriamo prostredníctvom účtovných odpisov. Zostatková cena sa zisťuje pomocou oprávok k dlhodobému nehmotnému a dlhodobému hmotnému majetku.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2. Dlhodobý hmotný majetok a dlhodobý nehmotný majetok sa odpisuje počas predpokladanej doby používania zodpovedajúcej spotrebe budúcich ekonomických úžitkov z majetku.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3. Technické zhodnotenie dlhodobého nehmotného majetku sa odpíše takým spôsobom ako dlhodobý nehmotný majetok, ku ktorému sa vzťahuje.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4. Účtovné odpisy sa počítajú z ceny, ktorou je dlhodobý nehmotný majetok alebo dlhodobý hmotný majetok ocenený v účtovníctve.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lastRenderedPageBreak/>
        <w:t>5. Účtovné odpisy dlhodobého nehmotného majetku a dlhodobého hmotného majetku v podielovom spoluvlastníctve sa vykonávajú za každého spoluvlastníka z jeho spoluvlastníckeho podielu.</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6. Účtovné odpisy zaokrúhlené podľa odpisového plánu na eurá hore sa účtujú v prospech účtov účtových skupín 07 - Oprávky k dlhodobému nehmotnému majetku alebo 08 - Oprávky k dlhodobému hmotnému majetku a na ťarchu účtu 551 - Odpisy dlhodobého nehmotného majetku a dlhodobého hmotného majetku.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7. Pri tvorbe odpisového plánu sa zohľadňuje doba použiteľnosti pričom sa predovšetkým zohľadňuje</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a) očakávané použitie majetku a intenzita jeho využitia,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b) očakávané fyzické opotrebovanie majetku,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c) technické a morálne zastaranie,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d) zákonné alebo iné obmedzenia na používanie majetku.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8. Ak sa zmenia podmienky používania majetku, prehodnotí sa odpisový plán a upraví sa zostatková doba odpisovania alebo sadzby odpisovania.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9. Neodpisujú sa pozemky, predmety z drahých kovov, umelecké diela a zbierky, ktoré nie sú súčasťou stavieb a budov a predmety kultúrnej hodnoty a iný majetok vymedzený osobitnými predpismi.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10. Hmotný majetok okrem zásob a nehmotný majetok okrem pohľadávok odpisuje účtovná jednotka počas predpokladanej doby používania zodpovedajúcej spotrebe budúcich ekonomických úžitkov z majetku. Nehmotný majetok, ktorým sú náklady na vývoj, musí účtovná jednotka odpísať najneskôr do piatich rokov od jeho obstarania.</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 11. Účtovná jednotka zostavuje odpisový plán v súlade so zákonom o účtovníctve. Účtovná jednotka odpisuje majetok metódou rovnomerného odpisovania. </w:t>
      </w:r>
    </w:p>
    <w:p w:rsidR="00740539" w:rsidRDefault="00EA73F3" w:rsidP="00EA73F3">
      <w:pPr>
        <w:rPr>
          <w:rFonts w:ascii="Times New Roman" w:hAnsi="Times New Roman" w:cs="Times New Roman"/>
          <w:sz w:val="24"/>
          <w:szCs w:val="24"/>
        </w:rPr>
      </w:pPr>
      <w:r w:rsidRPr="00EA73F3">
        <w:rPr>
          <w:rFonts w:ascii="Times New Roman" w:hAnsi="Times New Roman" w:cs="Times New Roman"/>
          <w:sz w:val="24"/>
          <w:szCs w:val="24"/>
        </w:rPr>
        <w:t xml:space="preserve">12. V zmysle § 7 ods. 3 zákona o účtovníctve, účtovná jednotka môže zmeniť postup odpisovania majetku v účtovníctve, ak sa tým dosiahne verný a pravdivý obraz skutočností. Ak účtovná jednotka zmení odpisový plán v priebehu účtovného obdobia, musí nový postup odpisovania použiť spätne od prvého dňa daného účtovného obdobia. O zmene odpisového plánu musí účtovná jednotka informovať v poznámkach. </w:t>
      </w:r>
    </w:p>
    <w:p w:rsidR="00200948" w:rsidRDefault="00200948" w:rsidP="00740539">
      <w:pPr>
        <w:jc w:val="center"/>
        <w:rPr>
          <w:rFonts w:ascii="Times New Roman" w:hAnsi="Times New Roman" w:cs="Times New Roman"/>
          <w:b/>
          <w:sz w:val="24"/>
          <w:szCs w:val="24"/>
        </w:rPr>
      </w:pPr>
    </w:p>
    <w:p w:rsidR="00200948" w:rsidRDefault="00200948" w:rsidP="00740539">
      <w:pPr>
        <w:jc w:val="center"/>
        <w:rPr>
          <w:rFonts w:ascii="Times New Roman" w:hAnsi="Times New Roman" w:cs="Times New Roman"/>
          <w:b/>
          <w:sz w:val="24"/>
          <w:szCs w:val="24"/>
        </w:rPr>
      </w:pPr>
    </w:p>
    <w:p w:rsidR="00200948" w:rsidRDefault="00200948" w:rsidP="00740539">
      <w:pPr>
        <w:jc w:val="center"/>
        <w:rPr>
          <w:rFonts w:ascii="Times New Roman" w:hAnsi="Times New Roman" w:cs="Times New Roman"/>
          <w:b/>
          <w:sz w:val="24"/>
          <w:szCs w:val="24"/>
        </w:rPr>
      </w:pPr>
    </w:p>
    <w:p w:rsidR="00200948" w:rsidRDefault="00200948" w:rsidP="00740539">
      <w:pPr>
        <w:jc w:val="center"/>
        <w:rPr>
          <w:rFonts w:ascii="Times New Roman" w:hAnsi="Times New Roman" w:cs="Times New Roman"/>
          <w:b/>
          <w:sz w:val="24"/>
          <w:szCs w:val="24"/>
        </w:rPr>
      </w:pPr>
    </w:p>
    <w:p w:rsidR="00200948" w:rsidRDefault="00200948" w:rsidP="00740539">
      <w:pPr>
        <w:jc w:val="center"/>
        <w:rPr>
          <w:rFonts w:ascii="Times New Roman" w:hAnsi="Times New Roman" w:cs="Times New Roman"/>
          <w:b/>
          <w:sz w:val="24"/>
          <w:szCs w:val="24"/>
        </w:rPr>
      </w:pPr>
    </w:p>
    <w:p w:rsidR="00200948" w:rsidRDefault="00200948" w:rsidP="00740539">
      <w:pPr>
        <w:jc w:val="center"/>
        <w:rPr>
          <w:rFonts w:ascii="Times New Roman" w:hAnsi="Times New Roman" w:cs="Times New Roman"/>
          <w:b/>
          <w:sz w:val="24"/>
          <w:szCs w:val="24"/>
        </w:rPr>
      </w:pPr>
    </w:p>
    <w:p w:rsidR="00200948" w:rsidRDefault="00200948" w:rsidP="00740539">
      <w:pPr>
        <w:jc w:val="center"/>
        <w:rPr>
          <w:rFonts w:ascii="Times New Roman" w:hAnsi="Times New Roman" w:cs="Times New Roman"/>
          <w:b/>
          <w:sz w:val="24"/>
          <w:szCs w:val="24"/>
        </w:rPr>
      </w:pPr>
    </w:p>
    <w:p w:rsidR="00740539" w:rsidRDefault="00EA73F3" w:rsidP="00740539">
      <w:pPr>
        <w:jc w:val="center"/>
        <w:rPr>
          <w:rFonts w:ascii="Times New Roman" w:hAnsi="Times New Roman" w:cs="Times New Roman"/>
          <w:b/>
          <w:sz w:val="24"/>
          <w:szCs w:val="24"/>
        </w:rPr>
      </w:pPr>
      <w:r w:rsidRPr="00740539">
        <w:rPr>
          <w:rFonts w:ascii="Times New Roman" w:hAnsi="Times New Roman" w:cs="Times New Roman"/>
          <w:b/>
          <w:sz w:val="24"/>
          <w:szCs w:val="24"/>
        </w:rPr>
        <w:lastRenderedPageBreak/>
        <w:t>Článok 5</w:t>
      </w:r>
    </w:p>
    <w:p w:rsidR="00740539" w:rsidRDefault="00EA73F3" w:rsidP="00740539">
      <w:pPr>
        <w:jc w:val="center"/>
        <w:rPr>
          <w:rFonts w:ascii="Times New Roman" w:hAnsi="Times New Roman" w:cs="Times New Roman"/>
          <w:sz w:val="24"/>
          <w:szCs w:val="24"/>
        </w:rPr>
      </w:pPr>
      <w:r w:rsidRPr="00740539">
        <w:rPr>
          <w:rFonts w:ascii="Times New Roman" w:hAnsi="Times New Roman" w:cs="Times New Roman"/>
          <w:b/>
          <w:sz w:val="24"/>
          <w:szCs w:val="24"/>
        </w:rPr>
        <w:t>Odpisový plán</w:t>
      </w:r>
      <w:r w:rsidRPr="00EA73F3">
        <w:rPr>
          <w:rFonts w:ascii="Times New Roman" w:hAnsi="Times New Roman" w:cs="Times New Roman"/>
          <w:sz w:val="24"/>
          <w:szCs w:val="24"/>
        </w:rPr>
        <w:t xml:space="preserve"> </w:t>
      </w:r>
    </w:p>
    <w:p w:rsidR="00740539" w:rsidRDefault="00740539" w:rsidP="00740539">
      <w:pPr>
        <w:pStyle w:val="Hlavika"/>
        <w:jc w:val="both"/>
      </w:pPr>
    </w:p>
    <w:p w:rsidR="00740539" w:rsidRDefault="00740539" w:rsidP="00740539">
      <w:pPr>
        <w:pStyle w:val="Hlavika"/>
        <w:numPr>
          <w:ilvl w:val="0"/>
          <w:numId w:val="1"/>
        </w:numPr>
        <w:jc w:val="both"/>
      </w:pPr>
      <w:r>
        <w:t>Účtovná jednotka používa nasledovný odpisový plán:</w:t>
      </w:r>
    </w:p>
    <w:p w:rsidR="00740539" w:rsidRDefault="00740539" w:rsidP="00740539">
      <w:pPr>
        <w:pStyle w:val="Hlavika"/>
        <w:ind w:left="720"/>
        <w:jc w:val="both"/>
      </w:pPr>
    </w:p>
    <w:tbl>
      <w:tblPr>
        <w:tblStyle w:val="Mriekatabuky"/>
        <w:tblW w:w="0" w:type="auto"/>
        <w:tblInd w:w="720" w:type="dxa"/>
        <w:tblLook w:val="04A0" w:firstRow="1" w:lastRow="0" w:firstColumn="1" w:lastColumn="0" w:noHBand="0" w:noVBand="1"/>
      </w:tblPr>
      <w:tblGrid>
        <w:gridCol w:w="2783"/>
        <w:gridCol w:w="2813"/>
        <w:gridCol w:w="2746"/>
      </w:tblGrid>
      <w:tr w:rsidR="00740539" w:rsidTr="007C515F">
        <w:tc>
          <w:tcPr>
            <w:tcW w:w="3020" w:type="dxa"/>
          </w:tcPr>
          <w:p w:rsidR="00740539" w:rsidRDefault="00740539" w:rsidP="007C515F">
            <w:pPr>
              <w:pStyle w:val="Hlavika"/>
              <w:jc w:val="center"/>
            </w:pPr>
            <w:r>
              <w:t>Odpisová skupina</w:t>
            </w:r>
          </w:p>
        </w:tc>
        <w:tc>
          <w:tcPr>
            <w:tcW w:w="3021" w:type="dxa"/>
          </w:tcPr>
          <w:p w:rsidR="00740539" w:rsidRDefault="00740539" w:rsidP="007C515F">
            <w:pPr>
              <w:pStyle w:val="Hlavika"/>
              <w:jc w:val="center"/>
            </w:pPr>
            <w:r>
              <w:t>Doba odpisovania v rokoch</w:t>
            </w:r>
          </w:p>
        </w:tc>
        <w:tc>
          <w:tcPr>
            <w:tcW w:w="3021" w:type="dxa"/>
          </w:tcPr>
          <w:p w:rsidR="00740539" w:rsidRDefault="00740539" w:rsidP="007C515F">
            <w:pPr>
              <w:pStyle w:val="Hlavika"/>
              <w:jc w:val="center"/>
            </w:pPr>
            <w:r>
              <w:t>Ročný odpis</w:t>
            </w:r>
          </w:p>
        </w:tc>
      </w:tr>
      <w:tr w:rsidR="00740539" w:rsidTr="007C515F">
        <w:tc>
          <w:tcPr>
            <w:tcW w:w="3020" w:type="dxa"/>
          </w:tcPr>
          <w:p w:rsidR="00740539" w:rsidRDefault="00740539" w:rsidP="007C515F">
            <w:pPr>
              <w:pStyle w:val="Hlavika"/>
              <w:jc w:val="center"/>
            </w:pPr>
            <w:r>
              <w:t>1</w:t>
            </w:r>
          </w:p>
        </w:tc>
        <w:tc>
          <w:tcPr>
            <w:tcW w:w="3021" w:type="dxa"/>
          </w:tcPr>
          <w:p w:rsidR="00740539" w:rsidRDefault="00740539" w:rsidP="007C515F">
            <w:pPr>
              <w:pStyle w:val="Hlavika"/>
              <w:jc w:val="center"/>
            </w:pPr>
            <w:r>
              <w:t>4</w:t>
            </w:r>
          </w:p>
        </w:tc>
        <w:tc>
          <w:tcPr>
            <w:tcW w:w="3021" w:type="dxa"/>
          </w:tcPr>
          <w:p w:rsidR="00740539" w:rsidRDefault="00740539" w:rsidP="007C515F">
            <w:pPr>
              <w:pStyle w:val="Hlavika"/>
              <w:jc w:val="center"/>
            </w:pPr>
            <w:r>
              <w:t>1/4</w:t>
            </w:r>
          </w:p>
        </w:tc>
      </w:tr>
      <w:tr w:rsidR="00740539" w:rsidTr="007C515F">
        <w:tc>
          <w:tcPr>
            <w:tcW w:w="3020" w:type="dxa"/>
          </w:tcPr>
          <w:p w:rsidR="00740539" w:rsidRDefault="00740539" w:rsidP="007C515F">
            <w:pPr>
              <w:pStyle w:val="Hlavika"/>
              <w:jc w:val="center"/>
            </w:pPr>
            <w:r>
              <w:t>2</w:t>
            </w:r>
          </w:p>
        </w:tc>
        <w:tc>
          <w:tcPr>
            <w:tcW w:w="3021" w:type="dxa"/>
          </w:tcPr>
          <w:p w:rsidR="00740539" w:rsidRDefault="00740539" w:rsidP="007C515F">
            <w:pPr>
              <w:pStyle w:val="Hlavika"/>
              <w:jc w:val="center"/>
            </w:pPr>
            <w:r>
              <w:t>6</w:t>
            </w:r>
          </w:p>
        </w:tc>
        <w:tc>
          <w:tcPr>
            <w:tcW w:w="3021" w:type="dxa"/>
          </w:tcPr>
          <w:p w:rsidR="00740539" w:rsidRDefault="00740539" w:rsidP="007C515F">
            <w:pPr>
              <w:pStyle w:val="Hlavika"/>
              <w:jc w:val="center"/>
            </w:pPr>
            <w:r>
              <w:t>1/6</w:t>
            </w:r>
          </w:p>
        </w:tc>
      </w:tr>
      <w:tr w:rsidR="00740539" w:rsidTr="007C515F">
        <w:tc>
          <w:tcPr>
            <w:tcW w:w="3020" w:type="dxa"/>
          </w:tcPr>
          <w:p w:rsidR="00740539" w:rsidRDefault="00740539" w:rsidP="007C515F">
            <w:pPr>
              <w:pStyle w:val="Hlavika"/>
              <w:jc w:val="center"/>
            </w:pPr>
            <w:r>
              <w:t>3</w:t>
            </w:r>
          </w:p>
        </w:tc>
        <w:tc>
          <w:tcPr>
            <w:tcW w:w="3021" w:type="dxa"/>
          </w:tcPr>
          <w:p w:rsidR="00740539" w:rsidRDefault="00740539" w:rsidP="007C515F">
            <w:pPr>
              <w:pStyle w:val="Hlavika"/>
              <w:jc w:val="center"/>
            </w:pPr>
            <w:r>
              <w:t>8</w:t>
            </w:r>
          </w:p>
        </w:tc>
        <w:tc>
          <w:tcPr>
            <w:tcW w:w="3021" w:type="dxa"/>
          </w:tcPr>
          <w:p w:rsidR="00740539" w:rsidRDefault="00740539" w:rsidP="007C515F">
            <w:pPr>
              <w:pStyle w:val="Hlavika"/>
              <w:jc w:val="center"/>
            </w:pPr>
            <w:r>
              <w:t>1/8</w:t>
            </w:r>
          </w:p>
        </w:tc>
      </w:tr>
      <w:tr w:rsidR="00740539" w:rsidTr="007C515F">
        <w:tc>
          <w:tcPr>
            <w:tcW w:w="3020" w:type="dxa"/>
          </w:tcPr>
          <w:p w:rsidR="00740539" w:rsidRDefault="00740539" w:rsidP="007C515F">
            <w:pPr>
              <w:pStyle w:val="Hlavika"/>
              <w:jc w:val="center"/>
            </w:pPr>
            <w:r>
              <w:t>4</w:t>
            </w:r>
          </w:p>
        </w:tc>
        <w:tc>
          <w:tcPr>
            <w:tcW w:w="3021" w:type="dxa"/>
          </w:tcPr>
          <w:p w:rsidR="00740539" w:rsidRDefault="00740539" w:rsidP="007C515F">
            <w:pPr>
              <w:pStyle w:val="Hlavika"/>
              <w:jc w:val="center"/>
            </w:pPr>
            <w:r>
              <w:t>12</w:t>
            </w:r>
          </w:p>
        </w:tc>
        <w:tc>
          <w:tcPr>
            <w:tcW w:w="3021" w:type="dxa"/>
          </w:tcPr>
          <w:p w:rsidR="00740539" w:rsidRDefault="00740539" w:rsidP="007C515F">
            <w:pPr>
              <w:pStyle w:val="Hlavika"/>
              <w:jc w:val="center"/>
            </w:pPr>
            <w:r>
              <w:t>1/12</w:t>
            </w:r>
          </w:p>
        </w:tc>
      </w:tr>
      <w:tr w:rsidR="00740539" w:rsidTr="007C515F">
        <w:tc>
          <w:tcPr>
            <w:tcW w:w="3020" w:type="dxa"/>
          </w:tcPr>
          <w:p w:rsidR="00740539" w:rsidRDefault="00740539" w:rsidP="007C515F">
            <w:pPr>
              <w:pStyle w:val="Hlavika"/>
              <w:jc w:val="center"/>
            </w:pPr>
            <w:r>
              <w:t>5</w:t>
            </w:r>
          </w:p>
        </w:tc>
        <w:tc>
          <w:tcPr>
            <w:tcW w:w="3021" w:type="dxa"/>
          </w:tcPr>
          <w:p w:rsidR="00740539" w:rsidRDefault="00740539" w:rsidP="007C515F">
            <w:pPr>
              <w:pStyle w:val="Hlavika"/>
              <w:jc w:val="center"/>
            </w:pPr>
            <w:r>
              <w:t>20</w:t>
            </w:r>
          </w:p>
        </w:tc>
        <w:tc>
          <w:tcPr>
            <w:tcW w:w="3021" w:type="dxa"/>
          </w:tcPr>
          <w:p w:rsidR="00740539" w:rsidRDefault="00740539" w:rsidP="007C515F">
            <w:pPr>
              <w:pStyle w:val="Hlavika"/>
              <w:jc w:val="center"/>
            </w:pPr>
            <w:r>
              <w:t>1/20</w:t>
            </w:r>
          </w:p>
        </w:tc>
      </w:tr>
      <w:tr w:rsidR="00740539" w:rsidTr="007C515F">
        <w:tc>
          <w:tcPr>
            <w:tcW w:w="3020" w:type="dxa"/>
          </w:tcPr>
          <w:p w:rsidR="00740539" w:rsidRDefault="00740539" w:rsidP="007C515F">
            <w:pPr>
              <w:pStyle w:val="Hlavika"/>
              <w:jc w:val="center"/>
            </w:pPr>
            <w:r>
              <w:t>6</w:t>
            </w:r>
          </w:p>
        </w:tc>
        <w:tc>
          <w:tcPr>
            <w:tcW w:w="3021" w:type="dxa"/>
          </w:tcPr>
          <w:p w:rsidR="00740539" w:rsidRDefault="00740539" w:rsidP="007C515F">
            <w:pPr>
              <w:pStyle w:val="Hlavika"/>
              <w:jc w:val="center"/>
            </w:pPr>
            <w:r>
              <w:t>40</w:t>
            </w:r>
          </w:p>
        </w:tc>
        <w:tc>
          <w:tcPr>
            <w:tcW w:w="3021" w:type="dxa"/>
          </w:tcPr>
          <w:p w:rsidR="00740539" w:rsidRDefault="00740539" w:rsidP="007C515F">
            <w:pPr>
              <w:pStyle w:val="Hlavika"/>
              <w:jc w:val="center"/>
            </w:pPr>
            <w:r>
              <w:t>1/40</w:t>
            </w:r>
          </w:p>
        </w:tc>
      </w:tr>
    </w:tbl>
    <w:p w:rsidR="00740539" w:rsidRDefault="00740539" w:rsidP="00740539">
      <w:pPr>
        <w:pStyle w:val="Hlavika"/>
        <w:ind w:left="720"/>
        <w:jc w:val="both"/>
      </w:pPr>
    </w:p>
    <w:p w:rsidR="00740539" w:rsidRDefault="00740539" w:rsidP="00740539">
      <w:pPr>
        <w:pStyle w:val="Hlavika"/>
        <w:ind w:left="720"/>
        <w:jc w:val="both"/>
      </w:pPr>
    </w:p>
    <w:p w:rsidR="00740539" w:rsidRDefault="00740539" w:rsidP="00740539">
      <w:pPr>
        <w:pStyle w:val="Hlavika"/>
        <w:numPr>
          <w:ilvl w:val="0"/>
          <w:numId w:val="1"/>
        </w:numPr>
        <w:jc w:val="both"/>
      </w:pPr>
      <w:r>
        <w:t>Účtovná jednotka zaraďuje majetok do odpisových skupín v zmysle zákona č.595/2003 Z. z. o dani z príjmov v z.n.p. Pôvodná odpisová skupina 4 bola rozdelená na dve odpisové skupiny 5 a 6.</w:t>
      </w:r>
    </w:p>
    <w:p w:rsidR="00740539" w:rsidRDefault="00740539" w:rsidP="00740539">
      <w:pPr>
        <w:pStyle w:val="Hlavika"/>
        <w:numPr>
          <w:ilvl w:val="0"/>
          <w:numId w:val="1"/>
        </w:numPr>
        <w:jc w:val="both"/>
      </w:pPr>
      <w:r>
        <w:t xml:space="preserve">Účtovná jednotka určí dobu odpisovania podľa </w:t>
      </w:r>
      <w:r>
        <w:rPr>
          <w:b/>
        </w:rPr>
        <w:t xml:space="preserve">prílohy č.1 k zákonu č.595/2003 Z.z. </w:t>
      </w:r>
      <w:r>
        <w:t>Hmotný majetok, ktorý nemožno zaradiť do odpisových skupín podľa tejto prílohy a ktorého doba použiteľnosti nevyplýva z iných predpisov sa na účely odpisovania zaradí do odpisovej skupiny 2, to neplatí pre hmotný majetok podľa odsekov 6 (otvárky nových lomov, pieskovní, hlinísk, technickej rekultivácie, dočasných stavieb, banských diel ak nie sú súčasťou hmotného majetku) a 7 (formy, šablóny, modely) § 26 zákona č.595/2003 Z. z. o dani z príjmov.</w:t>
      </w:r>
    </w:p>
    <w:p w:rsidR="00740539" w:rsidRDefault="00740539" w:rsidP="00740539">
      <w:pPr>
        <w:pStyle w:val="Hlavika"/>
        <w:numPr>
          <w:ilvl w:val="0"/>
          <w:numId w:val="1"/>
        </w:numPr>
        <w:jc w:val="both"/>
      </w:pPr>
      <w:r>
        <w:t>Pri používaní budovy na niekoľko účelov je na zaradenie tejto budovy od odpisovej skupiny rozhodujúce porovnať úžitkové plochy v m2 na jednotlivé činnosti. Podľa výsledku tohto testu sa potom budova s kombinovaným využitím zaradí do odpisovej skupiny, v ktorej je prevládajúci účel budovy.</w:t>
      </w:r>
    </w:p>
    <w:p w:rsidR="00740539" w:rsidRDefault="00740539" w:rsidP="00740539">
      <w:pPr>
        <w:pStyle w:val="Hlavika"/>
        <w:numPr>
          <w:ilvl w:val="0"/>
          <w:numId w:val="1"/>
        </w:numPr>
        <w:jc w:val="both"/>
      </w:pPr>
      <w:r>
        <w:t>Účtovná jednotka vykoná zmenu odpisovej skupiny, zmenu doby odpisovania od 01.01.2015. Zmeny sa pritom uskutočnia aj pri už odpisovanom hmotnom majetku. V minulosti uplatnené odpisy sa však spätne neupravujú.</w:t>
      </w:r>
    </w:p>
    <w:p w:rsidR="00740539" w:rsidRDefault="00740539" w:rsidP="00740539">
      <w:pPr>
        <w:pStyle w:val="Hlavika"/>
        <w:numPr>
          <w:ilvl w:val="0"/>
          <w:numId w:val="1"/>
        </w:numPr>
        <w:jc w:val="both"/>
      </w:pPr>
      <w:r>
        <w:t>Hmotný majetok obstaraný formou finančného prenájmu, okrem pozemkov sa bude od roku 2015 odpisovať počas doby odpisovania ustanovenej zákonom o dani z príjmov a nie počas doby trvania prenájmu.</w:t>
      </w:r>
    </w:p>
    <w:p w:rsidR="00740539" w:rsidRDefault="00740539" w:rsidP="00740539">
      <w:pPr>
        <w:pStyle w:val="Hlavika"/>
        <w:numPr>
          <w:ilvl w:val="0"/>
          <w:numId w:val="1"/>
        </w:numPr>
        <w:jc w:val="both"/>
      </w:pPr>
      <w:r>
        <w:t>Technické zhodnotenie hmotného majetku obstarávaného formou finančného prenájmu bude súčasťou vstupnej ceny tohto hmotného majetku v tom období, v ktorom bolo technické zhodnotenie dokončené a zaradené do užívania.</w:t>
      </w:r>
    </w:p>
    <w:p w:rsidR="006330ED" w:rsidRPr="006330ED" w:rsidRDefault="00740539" w:rsidP="000C49EA">
      <w:pPr>
        <w:pStyle w:val="Hlavika"/>
        <w:numPr>
          <w:ilvl w:val="0"/>
          <w:numId w:val="1"/>
        </w:numPr>
        <w:jc w:val="both"/>
      </w:pPr>
      <w:r>
        <w:t>Majetok sa začne odpisovať odo dňa jeho zaradenia do používania.</w:t>
      </w:r>
    </w:p>
    <w:p w:rsidR="006330ED" w:rsidRDefault="006330ED" w:rsidP="00740539">
      <w:pPr>
        <w:jc w:val="center"/>
        <w:rPr>
          <w:rFonts w:ascii="Times New Roman" w:hAnsi="Times New Roman" w:cs="Times New Roman"/>
          <w:sz w:val="24"/>
          <w:szCs w:val="24"/>
        </w:rPr>
      </w:pPr>
    </w:p>
    <w:p w:rsidR="006330ED" w:rsidRPr="006330ED" w:rsidRDefault="00EA73F3" w:rsidP="00740539">
      <w:pPr>
        <w:jc w:val="center"/>
        <w:rPr>
          <w:rFonts w:ascii="Times New Roman" w:hAnsi="Times New Roman" w:cs="Times New Roman"/>
          <w:b/>
          <w:sz w:val="24"/>
          <w:szCs w:val="24"/>
        </w:rPr>
      </w:pPr>
      <w:r w:rsidRPr="006330ED">
        <w:rPr>
          <w:rFonts w:ascii="Times New Roman" w:hAnsi="Times New Roman" w:cs="Times New Roman"/>
          <w:b/>
          <w:sz w:val="24"/>
          <w:szCs w:val="24"/>
        </w:rPr>
        <w:t xml:space="preserve">Článok 6 </w:t>
      </w:r>
    </w:p>
    <w:p w:rsidR="006330ED" w:rsidRPr="006330ED" w:rsidRDefault="00EA73F3" w:rsidP="00740539">
      <w:pPr>
        <w:jc w:val="center"/>
        <w:rPr>
          <w:rFonts w:ascii="Times New Roman" w:hAnsi="Times New Roman" w:cs="Times New Roman"/>
          <w:b/>
          <w:sz w:val="24"/>
          <w:szCs w:val="24"/>
        </w:rPr>
      </w:pPr>
      <w:r w:rsidRPr="006330ED">
        <w:rPr>
          <w:rFonts w:ascii="Times New Roman" w:hAnsi="Times New Roman" w:cs="Times New Roman"/>
          <w:b/>
          <w:sz w:val="24"/>
          <w:szCs w:val="24"/>
        </w:rPr>
        <w:t>Vyraďovanie a likvidácia majetku</w:t>
      </w:r>
    </w:p>
    <w:p w:rsidR="006330ED" w:rsidRDefault="00EA73F3" w:rsidP="006330ED">
      <w:pPr>
        <w:rPr>
          <w:rFonts w:ascii="Times New Roman" w:hAnsi="Times New Roman" w:cs="Times New Roman"/>
          <w:sz w:val="24"/>
          <w:szCs w:val="24"/>
        </w:rPr>
      </w:pPr>
      <w:r w:rsidRPr="00EA73F3">
        <w:rPr>
          <w:rFonts w:ascii="Times New Roman" w:hAnsi="Times New Roman" w:cs="Times New Roman"/>
          <w:sz w:val="24"/>
          <w:szCs w:val="24"/>
        </w:rPr>
        <w:t xml:space="preserve"> 1. Návrh na vyradenie majetku predkladá vyraďovacej komisii zodpovedná osoba za majetok. Vyraďovacia komisia je trojčlenná, posudzuje návrhy na vyradenie majetku a predkladá ich Ústrednej inventarizačnej komisii.</w:t>
      </w:r>
    </w:p>
    <w:p w:rsidR="006330ED" w:rsidRDefault="00EA73F3" w:rsidP="006330ED">
      <w:pPr>
        <w:rPr>
          <w:rFonts w:ascii="Times New Roman" w:hAnsi="Times New Roman" w:cs="Times New Roman"/>
          <w:sz w:val="24"/>
          <w:szCs w:val="24"/>
        </w:rPr>
      </w:pPr>
      <w:r w:rsidRPr="00EA73F3">
        <w:rPr>
          <w:rFonts w:ascii="Times New Roman" w:hAnsi="Times New Roman" w:cs="Times New Roman"/>
          <w:sz w:val="24"/>
          <w:szCs w:val="24"/>
        </w:rPr>
        <w:t xml:space="preserve">2. Protokol o vyradení majetku je súčasťou účtovnej a analytickej evidencie. </w:t>
      </w:r>
    </w:p>
    <w:p w:rsidR="006330ED" w:rsidRDefault="00EA73F3" w:rsidP="006330ED">
      <w:pPr>
        <w:rPr>
          <w:rFonts w:ascii="Times New Roman" w:hAnsi="Times New Roman" w:cs="Times New Roman"/>
          <w:sz w:val="24"/>
          <w:szCs w:val="24"/>
        </w:rPr>
      </w:pPr>
      <w:r w:rsidRPr="00EA73F3">
        <w:rPr>
          <w:rFonts w:ascii="Times New Roman" w:hAnsi="Times New Roman" w:cs="Times New Roman"/>
          <w:sz w:val="24"/>
          <w:szCs w:val="24"/>
        </w:rPr>
        <w:lastRenderedPageBreak/>
        <w:t xml:space="preserve">3. Vyradený majetok likviduje likvidačná komisia, ktorá je trojčlenná. Likvidačná komisia zabezpečí likvidáciu vyradeného majetku určeným spôsobom. </w:t>
      </w:r>
    </w:p>
    <w:p w:rsidR="006330ED" w:rsidRDefault="00EA73F3" w:rsidP="006330ED">
      <w:pPr>
        <w:rPr>
          <w:rFonts w:ascii="Times New Roman" w:hAnsi="Times New Roman" w:cs="Times New Roman"/>
          <w:sz w:val="24"/>
          <w:szCs w:val="24"/>
        </w:rPr>
      </w:pPr>
      <w:r w:rsidRPr="00EA73F3">
        <w:rPr>
          <w:rFonts w:ascii="Times New Roman" w:hAnsi="Times New Roman" w:cs="Times New Roman"/>
          <w:sz w:val="24"/>
          <w:szCs w:val="24"/>
        </w:rPr>
        <w:t xml:space="preserve">4. Doklady o uskutočnení likvidácie sú súčasťou účtovnej a analytickej evidencie. </w:t>
      </w:r>
    </w:p>
    <w:p w:rsidR="006330ED" w:rsidRDefault="006330ED" w:rsidP="006330ED">
      <w:pPr>
        <w:rPr>
          <w:rFonts w:ascii="Times New Roman" w:hAnsi="Times New Roman" w:cs="Times New Roman"/>
          <w:sz w:val="24"/>
          <w:szCs w:val="24"/>
        </w:rPr>
      </w:pPr>
    </w:p>
    <w:p w:rsidR="006330ED" w:rsidRDefault="006330ED" w:rsidP="006330ED">
      <w:pPr>
        <w:rPr>
          <w:rFonts w:ascii="Times New Roman" w:hAnsi="Times New Roman" w:cs="Times New Roman"/>
          <w:sz w:val="24"/>
          <w:szCs w:val="24"/>
        </w:rPr>
      </w:pPr>
    </w:p>
    <w:p w:rsidR="006330ED" w:rsidRPr="006330ED" w:rsidRDefault="00EA73F3" w:rsidP="006330ED">
      <w:pPr>
        <w:jc w:val="center"/>
        <w:rPr>
          <w:rFonts w:ascii="Times New Roman" w:hAnsi="Times New Roman" w:cs="Times New Roman"/>
          <w:b/>
          <w:sz w:val="24"/>
          <w:szCs w:val="24"/>
        </w:rPr>
      </w:pPr>
      <w:r w:rsidRPr="006330ED">
        <w:rPr>
          <w:rFonts w:ascii="Times New Roman" w:hAnsi="Times New Roman" w:cs="Times New Roman"/>
          <w:b/>
          <w:sz w:val="24"/>
          <w:szCs w:val="24"/>
        </w:rPr>
        <w:t>Článok 7</w:t>
      </w:r>
    </w:p>
    <w:p w:rsidR="006330ED" w:rsidRPr="006330ED" w:rsidRDefault="00EA73F3" w:rsidP="006330ED">
      <w:pPr>
        <w:jc w:val="center"/>
        <w:rPr>
          <w:rFonts w:ascii="Times New Roman" w:hAnsi="Times New Roman" w:cs="Times New Roman"/>
          <w:b/>
          <w:sz w:val="24"/>
          <w:szCs w:val="24"/>
        </w:rPr>
      </w:pPr>
      <w:r w:rsidRPr="006330ED">
        <w:rPr>
          <w:rFonts w:ascii="Times New Roman" w:hAnsi="Times New Roman" w:cs="Times New Roman"/>
          <w:b/>
          <w:sz w:val="24"/>
          <w:szCs w:val="24"/>
        </w:rPr>
        <w:t>Účtovanie majetku</w:t>
      </w:r>
    </w:p>
    <w:p w:rsidR="006330ED" w:rsidRDefault="00EA73F3" w:rsidP="006330ED">
      <w:pPr>
        <w:rPr>
          <w:rFonts w:ascii="Times New Roman" w:hAnsi="Times New Roman" w:cs="Times New Roman"/>
          <w:sz w:val="24"/>
          <w:szCs w:val="24"/>
        </w:rPr>
      </w:pPr>
      <w:r w:rsidRPr="00EA73F3">
        <w:rPr>
          <w:rFonts w:ascii="Times New Roman" w:hAnsi="Times New Roman" w:cs="Times New Roman"/>
          <w:sz w:val="24"/>
          <w:szCs w:val="24"/>
        </w:rPr>
        <w:t xml:space="preserve"> 1. Majetok sa účtuje v zmysle platných Postupov účtovania v účtovej triede 0 - Dlhodobý majetok. </w:t>
      </w:r>
    </w:p>
    <w:p w:rsidR="006330ED" w:rsidRPr="006330ED" w:rsidRDefault="00EA73F3" w:rsidP="006330ED">
      <w:pPr>
        <w:jc w:val="center"/>
        <w:rPr>
          <w:rFonts w:ascii="Times New Roman" w:hAnsi="Times New Roman" w:cs="Times New Roman"/>
          <w:b/>
          <w:sz w:val="24"/>
          <w:szCs w:val="24"/>
        </w:rPr>
      </w:pPr>
      <w:r w:rsidRPr="006330ED">
        <w:rPr>
          <w:rFonts w:ascii="Times New Roman" w:hAnsi="Times New Roman" w:cs="Times New Roman"/>
          <w:b/>
          <w:sz w:val="24"/>
          <w:szCs w:val="24"/>
        </w:rPr>
        <w:t>Článok 8</w:t>
      </w:r>
    </w:p>
    <w:p w:rsidR="006330ED" w:rsidRPr="006330ED" w:rsidRDefault="00EA73F3" w:rsidP="006330ED">
      <w:pPr>
        <w:jc w:val="center"/>
        <w:rPr>
          <w:rFonts w:ascii="Times New Roman" w:hAnsi="Times New Roman" w:cs="Times New Roman"/>
          <w:b/>
          <w:sz w:val="24"/>
          <w:szCs w:val="24"/>
        </w:rPr>
      </w:pPr>
      <w:r w:rsidRPr="006330ED">
        <w:rPr>
          <w:rFonts w:ascii="Times New Roman" w:hAnsi="Times New Roman" w:cs="Times New Roman"/>
          <w:b/>
          <w:sz w:val="24"/>
          <w:szCs w:val="24"/>
        </w:rPr>
        <w:t>Záverečné ustanovenia</w:t>
      </w:r>
    </w:p>
    <w:p w:rsidR="006330ED" w:rsidRDefault="00EA73F3" w:rsidP="006330ED">
      <w:pPr>
        <w:rPr>
          <w:rFonts w:ascii="Times New Roman" w:hAnsi="Times New Roman" w:cs="Times New Roman"/>
          <w:sz w:val="24"/>
          <w:szCs w:val="24"/>
        </w:rPr>
      </w:pPr>
      <w:r w:rsidRPr="00EA73F3">
        <w:rPr>
          <w:rFonts w:ascii="Times New Roman" w:hAnsi="Times New Roman" w:cs="Times New Roman"/>
          <w:sz w:val="24"/>
          <w:szCs w:val="24"/>
        </w:rPr>
        <w:t xml:space="preserve"> 1. Tento predpis je súčasťou vnútorného kontrolného systému organizácie a podlieha aktualizácii podľa potrieb a zmien kompetencií a zodpovedností. </w:t>
      </w:r>
    </w:p>
    <w:p w:rsidR="006330ED" w:rsidRDefault="00EA73F3" w:rsidP="006330ED">
      <w:pPr>
        <w:rPr>
          <w:rFonts w:ascii="Times New Roman" w:hAnsi="Times New Roman" w:cs="Times New Roman"/>
          <w:sz w:val="24"/>
          <w:szCs w:val="24"/>
        </w:rPr>
      </w:pPr>
      <w:r w:rsidRPr="00EA73F3">
        <w:rPr>
          <w:rFonts w:ascii="Times New Roman" w:hAnsi="Times New Roman" w:cs="Times New Roman"/>
          <w:sz w:val="24"/>
          <w:szCs w:val="24"/>
        </w:rPr>
        <w:t xml:space="preserve">2. Ustanoveniami tohto predpisu sú povinní riadiť sa všetci zamestnanci organizácie. </w:t>
      </w:r>
    </w:p>
    <w:p w:rsidR="00E74C20" w:rsidRDefault="00EA73F3" w:rsidP="006330ED">
      <w:pPr>
        <w:rPr>
          <w:rFonts w:ascii="Times New Roman" w:hAnsi="Times New Roman" w:cs="Times New Roman"/>
          <w:sz w:val="24"/>
          <w:szCs w:val="24"/>
        </w:rPr>
      </w:pPr>
      <w:r w:rsidRPr="00EA73F3">
        <w:rPr>
          <w:rFonts w:ascii="Times New Roman" w:hAnsi="Times New Roman" w:cs="Times New Roman"/>
          <w:sz w:val="24"/>
          <w:szCs w:val="24"/>
        </w:rPr>
        <w:t>3. Schválením tohto vnútorného predpisu stráca platnosť</w:t>
      </w:r>
      <w:r w:rsidR="006330ED">
        <w:rPr>
          <w:rFonts w:ascii="Times New Roman" w:hAnsi="Times New Roman" w:cs="Times New Roman"/>
          <w:sz w:val="24"/>
          <w:szCs w:val="24"/>
        </w:rPr>
        <w:t xml:space="preserve"> posledná platná smernica.</w:t>
      </w:r>
    </w:p>
    <w:p w:rsidR="006330ED" w:rsidRDefault="006330ED" w:rsidP="006330ED">
      <w:pPr>
        <w:rPr>
          <w:rFonts w:ascii="Times New Roman" w:hAnsi="Times New Roman" w:cs="Times New Roman"/>
          <w:sz w:val="24"/>
          <w:szCs w:val="24"/>
        </w:rPr>
      </w:pPr>
    </w:p>
    <w:p w:rsidR="006330ED" w:rsidRDefault="006330ED" w:rsidP="006330ED">
      <w:pPr>
        <w:rPr>
          <w:rFonts w:ascii="Times New Roman" w:hAnsi="Times New Roman" w:cs="Times New Roman"/>
          <w:sz w:val="24"/>
          <w:szCs w:val="24"/>
        </w:rPr>
      </w:pPr>
    </w:p>
    <w:p w:rsidR="006330ED" w:rsidRDefault="006330ED" w:rsidP="006330ED">
      <w:pPr>
        <w:rPr>
          <w:rFonts w:ascii="Times New Roman" w:hAnsi="Times New Roman" w:cs="Times New Roman"/>
          <w:sz w:val="24"/>
          <w:szCs w:val="24"/>
        </w:rPr>
      </w:pPr>
      <w:r>
        <w:rPr>
          <w:rFonts w:ascii="Times New Roman" w:hAnsi="Times New Roman" w:cs="Times New Roman"/>
          <w:sz w:val="24"/>
          <w:szCs w:val="24"/>
        </w:rPr>
        <w:t>V Gruzovciach dňa:</w:t>
      </w:r>
      <w:r w:rsidR="00200948">
        <w:rPr>
          <w:rFonts w:ascii="Times New Roman" w:hAnsi="Times New Roman" w:cs="Times New Roman"/>
          <w:sz w:val="24"/>
          <w:szCs w:val="24"/>
        </w:rPr>
        <w:t xml:space="preserve"> 07.12.2015</w:t>
      </w:r>
    </w:p>
    <w:p w:rsidR="006330ED" w:rsidRDefault="006330ED" w:rsidP="006330ED">
      <w:pPr>
        <w:rPr>
          <w:rFonts w:ascii="Times New Roman" w:hAnsi="Times New Roman" w:cs="Times New Roman"/>
          <w:sz w:val="24"/>
          <w:szCs w:val="24"/>
        </w:rPr>
      </w:pPr>
    </w:p>
    <w:p w:rsidR="006330ED" w:rsidRDefault="006330ED" w:rsidP="006330ED">
      <w:pPr>
        <w:rPr>
          <w:rFonts w:ascii="Times New Roman" w:hAnsi="Times New Roman" w:cs="Times New Roman"/>
          <w:sz w:val="24"/>
          <w:szCs w:val="24"/>
        </w:rPr>
      </w:pPr>
    </w:p>
    <w:p w:rsidR="006330ED" w:rsidRDefault="006330ED" w:rsidP="006330ED">
      <w:pPr>
        <w:rPr>
          <w:rFonts w:ascii="Times New Roman" w:hAnsi="Times New Roman" w:cs="Times New Roman"/>
          <w:sz w:val="24"/>
          <w:szCs w:val="24"/>
        </w:rPr>
      </w:pPr>
    </w:p>
    <w:p w:rsidR="006330ED" w:rsidRDefault="006330ED" w:rsidP="006330ED">
      <w:pPr>
        <w:rPr>
          <w:rFonts w:ascii="Times New Roman" w:hAnsi="Times New Roman" w:cs="Times New Roman"/>
          <w:sz w:val="24"/>
          <w:szCs w:val="24"/>
        </w:rPr>
      </w:pPr>
      <w:r>
        <w:rPr>
          <w:rFonts w:ascii="Times New Roman" w:hAnsi="Times New Roman" w:cs="Times New Roman"/>
          <w:sz w:val="24"/>
          <w:szCs w:val="24"/>
        </w:rPr>
        <w:t xml:space="preserve">                                                                                            Martin Petík, BBA</w:t>
      </w:r>
    </w:p>
    <w:p w:rsidR="006330ED" w:rsidRPr="00EA73F3" w:rsidRDefault="006330ED" w:rsidP="006330ED">
      <w:pPr>
        <w:rPr>
          <w:rFonts w:ascii="Times New Roman" w:hAnsi="Times New Roman" w:cs="Times New Roman"/>
          <w:sz w:val="24"/>
          <w:szCs w:val="24"/>
        </w:rPr>
      </w:pPr>
      <w:r>
        <w:rPr>
          <w:rFonts w:ascii="Times New Roman" w:hAnsi="Times New Roman" w:cs="Times New Roman"/>
          <w:sz w:val="24"/>
          <w:szCs w:val="24"/>
        </w:rPr>
        <w:t xml:space="preserve">                                                                                                starosta obce</w:t>
      </w:r>
    </w:p>
    <w:sectPr w:rsidR="006330ED" w:rsidRPr="00EA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B38B5"/>
    <w:multiLevelType w:val="hybridMultilevel"/>
    <w:tmpl w:val="A56801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20"/>
    <w:rsid w:val="00200948"/>
    <w:rsid w:val="00243305"/>
    <w:rsid w:val="004E7AAB"/>
    <w:rsid w:val="006330ED"/>
    <w:rsid w:val="00740539"/>
    <w:rsid w:val="008951A3"/>
    <w:rsid w:val="009359B2"/>
    <w:rsid w:val="00A62B4D"/>
    <w:rsid w:val="00E74C20"/>
    <w:rsid w:val="00EA73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C5FDE-A2CF-4B0A-961E-26000895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74C20"/>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semiHidden/>
    <w:rsid w:val="0074053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semiHidden/>
    <w:rsid w:val="00740539"/>
    <w:rPr>
      <w:rFonts w:ascii="Times New Roman" w:eastAsia="Times New Roman" w:hAnsi="Times New Roman" w:cs="Times New Roman"/>
      <w:sz w:val="24"/>
      <w:szCs w:val="24"/>
      <w:lang w:eastAsia="sk-SK"/>
    </w:rPr>
  </w:style>
  <w:style w:type="table" w:styleId="Mriekatabuky">
    <w:name w:val="Table Grid"/>
    <w:basedOn w:val="Normlnatabuka"/>
    <w:uiPriority w:val="39"/>
    <w:rsid w:val="0074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3346</Words>
  <Characters>19075</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PETÍK Martin</dc:creator>
  <cp:keywords/>
  <dc:description/>
  <cp:lastModifiedBy>PETÍK Martin</cp:lastModifiedBy>
  <cp:revision>4</cp:revision>
  <dcterms:created xsi:type="dcterms:W3CDTF">2016-04-06T10:44:00Z</dcterms:created>
  <dcterms:modified xsi:type="dcterms:W3CDTF">2016-05-19T06:18:00Z</dcterms:modified>
</cp:coreProperties>
</file>